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1029" w14:textId="77777777" w:rsidR="005A1B18" w:rsidRPr="00276821" w:rsidRDefault="005A1B18" w:rsidP="005A1B1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03D5DFE5" wp14:editId="3EFAFD0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BD255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720CDC4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1082853D" w14:textId="77777777" w:rsidR="005A1B18" w:rsidRPr="00276821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A3E2F00" w14:textId="77777777" w:rsidR="005A1B18" w:rsidRPr="0085526B" w:rsidRDefault="005A1B18" w:rsidP="005A1B1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30</w:t>
      </w:r>
      <w:r w:rsidRPr="00C41938">
        <w:rPr>
          <w:rFonts w:ascii="Century" w:hAnsi="Century"/>
          <w:b/>
          <w:sz w:val="28"/>
          <w:szCs w:val="28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3E9E1BE5" w14:textId="44E6CFED" w:rsidR="005A1B18" w:rsidRPr="0085526B" w:rsidRDefault="005A1B18" w:rsidP="005A1B1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C41938">
        <w:rPr>
          <w:rFonts w:ascii="Century" w:hAnsi="Century"/>
          <w:b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C41938">
        <w:rPr>
          <w:rFonts w:ascii="Century" w:hAnsi="Century"/>
          <w:bCs/>
          <w:sz w:val="32"/>
          <w:szCs w:val="32"/>
        </w:rPr>
        <w:t>№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="003225E5">
        <w:rPr>
          <w:rFonts w:ascii="Century" w:hAnsi="Century"/>
          <w:b/>
          <w:sz w:val="32"/>
          <w:szCs w:val="32"/>
        </w:rPr>
        <w:t>23/30-5609</w:t>
      </w:r>
    </w:p>
    <w:p w14:paraId="52A0F4A3" w14:textId="77777777" w:rsidR="005A1B18" w:rsidRPr="00276821" w:rsidRDefault="005A1B18" w:rsidP="005A1B1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>20</w:t>
      </w:r>
      <w:r>
        <w:rPr>
          <w:rFonts w:ascii="Century" w:hAnsi="Century"/>
          <w:sz w:val="28"/>
          <w:szCs w:val="28"/>
        </w:rPr>
        <w:t xml:space="preserve"> квітня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1BD83100" w14:textId="5103C4AE" w:rsidR="000E495B" w:rsidRDefault="000E495B" w:rsidP="005A1B18">
      <w:pPr>
        <w:ind w:right="5388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r w:rsidR="005A1B18" w:rsidRPr="005A1B18">
        <w:rPr>
          <w:rFonts w:ascii="Century" w:hAnsi="Century"/>
          <w:b/>
          <w:bCs/>
          <w:sz w:val="28"/>
          <w:szCs w:val="28"/>
        </w:rPr>
        <w:t xml:space="preserve">КУ «Центр надання соціальних послуг Городоцької міської ради» </w:t>
      </w:r>
      <w:r w:rsidRPr="005F3A75">
        <w:rPr>
          <w:rFonts w:ascii="Century" w:hAnsi="Century"/>
          <w:b/>
          <w:bCs/>
          <w:sz w:val="28"/>
          <w:szCs w:val="28"/>
        </w:rPr>
        <w:t xml:space="preserve"> Городоцької міської ради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Львівської області за 2022 рік</w:t>
      </w:r>
    </w:p>
    <w:p w14:paraId="723A2EC7" w14:textId="77777777" w:rsidR="00D22D4E" w:rsidRPr="005F3A75" w:rsidRDefault="00D22D4E" w:rsidP="000E495B">
      <w:pPr>
        <w:rPr>
          <w:rFonts w:ascii="Century" w:hAnsi="Century"/>
          <w:b/>
          <w:bCs/>
          <w:sz w:val="28"/>
          <w:szCs w:val="28"/>
        </w:rPr>
      </w:pPr>
    </w:p>
    <w:p w14:paraId="4C06057C" w14:textId="531A4EDB" w:rsidR="000E495B" w:rsidRDefault="000E495B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r w:rsidR="005A1B18" w:rsidRPr="005A1B18">
        <w:rPr>
          <w:rFonts w:ascii="Century" w:hAnsi="Century"/>
          <w:sz w:val="28"/>
          <w:szCs w:val="28"/>
        </w:rPr>
        <w:t xml:space="preserve">КУ «Центр надання соціальних послуг Городоцької міської ради» </w:t>
      </w:r>
      <w:r w:rsidRPr="000E495B">
        <w:rPr>
          <w:rFonts w:ascii="Century" w:hAnsi="Century"/>
          <w:sz w:val="28"/>
          <w:szCs w:val="28"/>
        </w:rPr>
        <w:t xml:space="preserve">Городоцької міської ради Львівської області щодо діяльності </w:t>
      </w:r>
      <w:r w:rsidR="00176788">
        <w:rPr>
          <w:rFonts w:ascii="Century" w:hAnsi="Century"/>
          <w:sz w:val="28"/>
          <w:szCs w:val="28"/>
        </w:rPr>
        <w:t>установи</w:t>
      </w:r>
      <w:r w:rsidRPr="000E495B">
        <w:rPr>
          <w:rFonts w:ascii="Century" w:hAnsi="Century"/>
          <w:sz w:val="28"/>
          <w:szCs w:val="28"/>
        </w:rPr>
        <w:t xml:space="preserve">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4864B9FE" w14:textId="77777777" w:rsidR="00D22D4E" w:rsidRDefault="00D22D4E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99ABFAE" w14:textId="5B402209" w:rsidR="000E495B" w:rsidRDefault="000E495B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4666882A" w14:textId="77777777" w:rsidR="00D22D4E" w:rsidRPr="005F3A75" w:rsidRDefault="00D22D4E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B72EEFD" w14:textId="73211519" w:rsidR="000E495B" w:rsidRP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3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5A1B18" w:rsidRPr="005A1B18">
        <w:rPr>
          <w:rFonts w:ascii="Century" w:hAnsi="Century"/>
          <w:sz w:val="28"/>
          <w:szCs w:val="28"/>
        </w:rPr>
        <w:t xml:space="preserve">КУ «Центр надання соціальних послуг Городоцької міської ради» </w:t>
      </w:r>
      <w:r w:rsidRPr="000E495B">
        <w:rPr>
          <w:rFonts w:ascii="Century" w:hAnsi="Century"/>
          <w:sz w:val="28"/>
          <w:szCs w:val="28"/>
        </w:rPr>
        <w:t xml:space="preserve">Городоцької міської ради Львівської області щодо діяльності </w:t>
      </w:r>
      <w:r w:rsidR="00176788">
        <w:rPr>
          <w:rFonts w:ascii="Century" w:hAnsi="Century"/>
          <w:sz w:val="28"/>
          <w:szCs w:val="28"/>
        </w:rPr>
        <w:t>установи</w:t>
      </w:r>
      <w:r w:rsidRPr="000E495B">
        <w:rPr>
          <w:rFonts w:ascii="Century" w:hAnsi="Century"/>
          <w:sz w:val="28"/>
          <w:szCs w:val="28"/>
        </w:rPr>
        <w:t xml:space="preserve"> за 2022 рік </w:t>
      </w:r>
      <w:bookmarkEnd w:id="3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6F5A8A37" w14:textId="0DAD71AC" w:rsidR="005F3A75" w:rsidRDefault="005F3A75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ООС/АТО (</w:t>
      </w:r>
      <w:proofErr w:type="spellStart"/>
      <w:r w:rsidRPr="005F3A75">
        <w:rPr>
          <w:rFonts w:ascii="Century" w:hAnsi="Century"/>
          <w:sz w:val="28"/>
          <w:szCs w:val="28"/>
        </w:rPr>
        <w:t>гол.В.Ніканоров</w:t>
      </w:r>
      <w:proofErr w:type="spellEnd"/>
      <w:r w:rsidRPr="005F3A75">
        <w:rPr>
          <w:rFonts w:ascii="Century" w:hAnsi="Century"/>
          <w:sz w:val="28"/>
          <w:szCs w:val="28"/>
        </w:rPr>
        <w:t>), 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</w:t>
      </w:r>
      <w:proofErr w:type="spellStart"/>
      <w:r w:rsidRPr="005F3A75">
        <w:rPr>
          <w:rFonts w:ascii="Century" w:hAnsi="Century"/>
          <w:sz w:val="28"/>
          <w:szCs w:val="28"/>
        </w:rPr>
        <w:t>гол.І.Мєскало</w:t>
      </w:r>
      <w:proofErr w:type="spellEnd"/>
      <w:r w:rsidRPr="005F3A75">
        <w:rPr>
          <w:rFonts w:ascii="Century" w:hAnsi="Century"/>
          <w:sz w:val="28"/>
          <w:szCs w:val="28"/>
        </w:rPr>
        <w:t>).</w:t>
      </w:r>
    </w:p>
    <w:p w14:paraId="51EE8B3B" w14:textId="0732DF14" w:rsidR="005F3A75" w:rsidRDefault="005F3A75" w:rsidP="005F3A75">
      <w:pPr>
        <w:rPr>
          <w:rFonts w:ascii="Century" w:hAnsi="Century"/>
          <w:sz w:val="28"/>
          <w:szCs w:val="28"/>
        </w:rPr>
      </w:pPr>
    </w:p>
    <w:p w14:paraId="45A4AA34" w14:textId="6D63A2D8" w:rsidR="00726B21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p w14:paraId="226B2D49" w14:textId="77777777" w:rsidR="00726B21" w:rsidRDefault="00726B21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2ACC9F7E" w14:textId="77777777" w:rsidR="00726B21" w:rsidRPr="003225E5" w:rsidRDefault="00726B21" w:rsidP="003225E5">
      <w:pPr>
        <w:jc w:val="center"/>
        <w:rPr>
          <w:rFonts w:ascii="Century" w:hAnsi="Century"/>
          <w:b/>
          <w:sz w:val="26"/>
          <w:szCs w:val="26"/>
          <w:lang w:val="ru-RU" w:eastAsia="en-US"/>
        </w:rPr>
      </w:pPr>
      <w:r w:rsidRPr="003225E5">
        <w:rPr>
          <w:rFonts w:ascii="Century" w:hAnsi="Century"/>
          <w:b/>
          <w:sz w:val="26"/>
          <w:szCs w:val="26"/>
          <w:lang w:val="ru-RU" w:eastAsia="en-US"/>
        </w:rPr>
        <w:lastRenderedPageBreak/>
        <w:t>ЗВІТ</w:t>
      </w:r>
    </w:p>
    <w:p w14:paraId="070F5BD9" w14:textId="77777777" w:rsidR="00726B21" w:rsidRPr="003225E5" w:rsidRDefault="00726B21" w:rsidP="003225E5">
      <w:pPr>
        <w:jc w:val="center"/>
        <w:rPr>
          <w:rFonts w:ascii="Century" w:hAnsi="Century"/>
          <w:b/>
          <w:sz w:val="26"/>
          <w:szCs w:val="26"/>
          <w:lang w:val="ru-RU" w:eastAsia="en-US"/>
        </w:rPr>
      </w:pPr>
      <w:bookmarkStart w:id="4" w:name="_Hlk129087163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про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діяльність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КУ «Центр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ради» у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сфері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b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населенню</w:t>
      </w:r>
      <w:proofErr w:type="spellEnd"/>
      <w:proofErr w:type="gram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ради </w:t>
      </w:r>
      <w:r w:rsidRPr="003225E5">
        <w:rPr>
          <w:rFonts w:ascii="Century" w:hAnsi="Century"/>
          <w:b/>
          <w:sz w:val="26"/>
          <w:szCs w:val="26"/>
          <w:lang w:eastAsia="en-US"/>
        </w:rPr>
        <w:t xml:space="preserve"> </w:t>
      </w:r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за 2022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рік</w:t>
      </w:r>
      <w:proofErr w:type="spellEnd"/>
    </w:p>
    <w:bookmarkEnd w:id="4"/>
    <w:p w14:paraId="73435AB6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З метою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реалізації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державної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політики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сфері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соціального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забезпечення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громади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забезпечення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доступності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рішенням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29.12.2020 № 108 створено КУ «Центр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ради»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далі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ЦНСП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ради).</w:t>
      </w:r>
    </w:p>
    <w:p w14:paraId="79FBF1DF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ЦНСП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є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юридична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особа,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штатна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чисельність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працюючих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56 особи,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фактична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r w:rsidRPr="003225E5">
        <w:rPr>
          <w:rFonts w:ascii="Century" w:hAnsi="Century"/>
          <w:color w:val="C00000"/>
          <w:sz w:val="26"/>
          <w:szCs w:val="26"/>
          <w:lang w:val="ru-RU" w:eastAsia="en-US"/>
        </w:rPr>
        <w:t xml:space="preserve">– </w:t>
      </w:r>
      <w:r w:rsidRPr="003225E5">
        <w:rPr>
          <w:rFonts w:ascii="Century" w:hAnsi="Century"/>
          <w:sz w:val="26"/>
          <w:szCs w:val="26"/>
          <w:lang w:val="ru-RU" w:eastAsia="en-US"/>
        </w:rPr>
        <w:t xml:space="preserve">57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</w:p>
    <w:p w14:paraId="517AFEA8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Кошторис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утримання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центру 2022 року становив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10.2млн.грн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в тому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видатки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:</w:t>
      </w:r>
    </w:p>
    <w:p w14:paraId="76885C9A" w14:textId="77777777" w:rsidR="00726B21" w:rsidRPr="003225E5" w:rsidRDefault="00726B21" w:rsidP="003225E5">
      <w:pPr>
        <w:numPr>
          <w:ilvl w:val="0"/>
          <w:numId w:val="13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виплату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заробітної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плати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7.6млн.грн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68557D86" w14:textId="77777777" w:rsidR="00726B21" w:rsidRPr="003225E5" w:rsidRDefault="00726B21" w:rsidP="003225E5">
      <w:pPr>
        <w:numPr>
          <w:ilvl w:val="0"/>
          <w:numId w:val="13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утримання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місць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поселення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ВПО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-  201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тис.грн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відшкодовано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рахунок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субвенції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державного бюджету 12тис.грн.</w:t>
      </w:r>
    </w:p>
    <w:p w14:paraId="32BD6801" w14:textId="77777777" w:rsidR="00726B21" w:rsidRPr="003225E5" w:rsidRDefault="00726B21" w:rsidP="003225E5">
      <w:pPr>
        <w:numPr>
          <w:ilvl w:val="0"/>
          <w:numId w:val="13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Субвенція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Великолюбінської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селищної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отримані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склала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470.2тис.грн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Рудківської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– 100,0тис.грн.</w:t>
      </w:r>
    </w:p>
    <w:p w14:paraId="274BBE8A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Для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провадження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діяльності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сфері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центрі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утворено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функціонують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такі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:</w:t>
      </w:r>
    </w:p>
    <w:p w14:paraId="1FD9753F" w14:textId="77777777" w:rsidR="00726B21" w:rsidRPr="003225E5" w:rsidRDefault="00726B21" w:rsidP="003225E5">
      <w:pPr>
        <w:numPr>
          <w:ilvl w:val="0"/>
          <w:numId w:val="15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роботи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для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молоді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7473C5CE" w14:textId="77777777" w:rsidR="00726B21" w:rsidRPr="003225E5" w:rsidRDefault="00726B21" w:rsidP="003225E5">
      <w:pPr>
        <w:numPr>
          <w:ilvl w:val="0"/>
          <w:numId w:val="15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місцем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8785A76" w14:textId="77777777" w:rsidR="00726B21" w:rsidRPr="003225E5" w:rsidRDefault="00726B21" w:rsidP="003225E5">
      <w:pPr>
        <w:numPr>
          <w:ilvl w:val="0"/>
          <w:numId w:val="15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C3326A0" w14:textId="77777777" w:rsidR="00726B21" w:rsidRPr="003225E5" w:rsidRDefault="00726B21" w:rsidP="003225E5">
      <w:pPr>
        <w:numPr>
          <w:ilvl w:val="0"/>
          <w:numId w:val="15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Служба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перевезення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«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таксі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».</w:t>
      </w:r>
    </w:p>
    <w:p w14:paraId="315DA616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Крім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цього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організовано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роботу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консультативних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служб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щодо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підтримки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:</w:t>
      </w:r>
    </w:p>
    <w:p w14:paraId="70B96B49" w14:textId="77777777" w:rsidR="00726B21" w:rsidRPr="003225E5" w:rsidRDefault="00726B21" w:rsidP="003225E5">
      <w:pPr>
        <w:numPr>
          <w:ilvl w:val="0"/>
          <w:numId w:val="14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постраждали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домашнього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насильства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та/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або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насильства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ознакою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статі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455D2CC" w14:textId="77777777" w:rsidR="00726B21" w:rsidRPr="003225E5" w:rsidRDefault="00726B21" w:rsidP="003225E5">
      <w:pPr>
        <w:numPr>
          <w:ilvl w:val="0"/>
          <w:numId w:val="14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проблеми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законом;</w:t>
      </w:r>
    </w:p>
    <w:p w14:paraId="3B849894" w14:textId="77777777" w:rsidR="00726B21" w:rsidRPr="003225E5" w:rsidRDefault="00726B21" w:rsidP="003225E5">
      <w:pPr>
        <w:numPr>
          <w:ilvl w:val="0"/>
          <w:numId w:val="14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намір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відмовитися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новонародженої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68DE2FA5" w14:textId="77777777" w:rsidR="00726B21" w:rsidRPr="003225E5" w:rsidRDefault="00726B21" w:rsidP="003225E5">
      <w:pPr>
        <w:ind w:left="720"/>
        <w:jc w:val="both"/>
        <w:rPr>
          <w:rFonts w:ascii="Century" w:hAnsi="Century"/>
          <w:sz w:val="26"/>
          <w:szCs w:val="26"/>
          <w:lang w:val="ru-RU" w:eastAsia="en-US"/>
        </w:rPr>
      </w:pPr>
    </w:p>
    <w:p w14:paraId="2ED6AA87" w14:textId="77777777" w:rsidR="00726B21" w:rsidRPr="003225E5" w:rsidRDefault="00726B21" w:rsidP="003225E5">
      <w:pPr>
        <w:ind w:left="36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Перелік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що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надаються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центром (15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) :</w:t>
      </w:r>
      <w:proofErr w:type="gramEnd"/>
    </w:p>
    <w:p w14:paraId="7C58D1DC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Догляд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вдома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7677D66F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Денний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догляд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</w:p>
    <w:p w14:paraId="6E6A67B8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адаптація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0319E061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Соціально-психологічна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реабілітація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2C19753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інтеграція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реінтеграція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27D6F378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Екстрене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кризове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втручання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7C47026E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Консультування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4B352CDF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супровід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складних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життєвих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обставинах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2074B0A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супроводження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виховуються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-сироти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позбавлені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батьківського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піклування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7CD6AB47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Представництво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інтересів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275AB2B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Посередництво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медіація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);</w:t>
      </w:r>
    </w:p>
    <w:p w14:paraId="07346B83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профілактика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010D40BC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lastRenderedPageBreak/>
        <w:t>Транспортна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74790BFD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Інформування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62CDE2BE" w14:textId="77777777" w:rsidR="00726B21" w:rsidRPr="003225E5" w:rsidRDefault="00726B21" w:rsidP="003225E5">
      <w:pPr>
        <w:numPr>
          <w:ilvl w:val="0"/>
          <w:numId w:val="10"/>
        </w:numPr>
        <w:ind w:firstLine="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Натуральна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0F8085BE" w14:textId="77777777" w:rsidR="00726B21" w:rsidRPr="003225E5" w:rsidRDefault="00726B21" w:rsidP="003225E5">
      <w:pPr>
        <w:ind w:left="720"/>
        <w:jc w:val="both"/>
        <w:rPr>
          <w:rFonts w:ascii="Century" w:hAnsi="Century"/>
          <w:sz w:val="26"/>
          <w:szCs w:val="26"/>
          <w:lang w:val="ru-RU" w:eastAsia="en-US"/>
        </w:rPr>
      </w:pPr>
    </w:p>
    <w:p w14:paraId="50978105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За 2022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охоплено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1063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перебували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складних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життєвих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обставинах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,  в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тому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223 одиноких/одиноко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проживаючих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людей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поважного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30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5F3D8318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З початку 2022 року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відділенням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місцем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проживання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обслуговування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245  особам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поважного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особам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в тому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226-м  одиноким особам та  19- одиноко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проживаючим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6 особам з числа ВПО.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Обслуговування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здійснюють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23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робітників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Серед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поважного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обслуговуванні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перебувають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61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особа  ІУ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рухової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активності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За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звітний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2022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обслуговування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прийнято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36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громадян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поважного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з них 6осіб ВПО,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знято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обслуговування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21 особу (з причин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смерті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догляду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родичів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зміни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місця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).  Три особи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влаштовано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геріатричні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інтернати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 За 2022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рік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соціальними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платній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основі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скористалися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 19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суму 131тис.грн.</w:t>
      </w:r>
    </w:p>
    <w:p w14:paraId="55DB073C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За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бюджетні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кошти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одержувачі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перебувають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обліку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матеріальну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вигляді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продуктових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наборів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Великодня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відзначення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Дня людей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поважного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(1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жовтня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), до свята Дня  святого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Миколая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Різдвяних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свят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суму131,2тис.грн.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Гуманітарну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надавали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продуктовими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наборами,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гарячими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обідами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одягом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речами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першої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необхідності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ліжка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матраци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 Залучено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позабюджетних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коштів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суму 103тис.грн</w:t>
      </w:r>
    </w:p>
    <w:p w14:paraId="4EB168A1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Відділенням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роботи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для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молоді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  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охоплено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810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(у 2021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- 626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),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виховуються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843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(373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).</w:t>
      </w:r>
    </w:p>
    <w:p w14:paraId="0707CE8B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Основними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категоріями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отримувачів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були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:</w:t>
      </w:r>
    </w:p>
    <w:p w14:paraId="518B6D1B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дітьми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категорії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неповні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(одинока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батько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 – 11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\30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);</w:t>
      </w:r>
    </w:p>
    <w:p w14:paraId="6CE59101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ветеранів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війни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Захисниць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220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\ 134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3DF8B84B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внутрішньо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переміщені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242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\ 187дітей;</w:t>
      </w:r>
    </w:p>
    <w:p w14:paraId="09C2E280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постраждали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жорстокого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поводження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насильства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 65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\  71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дитина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4780665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члени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перебувають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/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перебували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у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конфлікті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законом  - 26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в них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виховуються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18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B9A0584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де є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алко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наркозалежні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члени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родини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6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\ 14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3ED274F7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торкнулася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проблема ВІЛ/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СНІДу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сім`ї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\ 4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2ADE03AB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члени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41сім’я \ 56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223F8C18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опікунів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піклувальників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прийомні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13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\ 15дітей;</w:t>
      </w:r>
    </w:p>
    <w:p w14:paraId="7AEE2771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особи з числа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дітей-сиріт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позбавлених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батьківського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піклування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-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11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D6C1922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lastRenderedPageBreak/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призначена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державна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при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народженні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187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\ 320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</w:p>
    <w:p w14:paraId="570CE339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r w:rsidRPr="003225E5">
        <w:rPr>
          <w:rFonts w:ascii="Century" w:hAnsi="Century"/>
          <w:sz w:val="26"/>
          <w:szCs w:val="26"/>
          <w:lang w:val="ru-RU" w:eastAsia="en-US"/>
        </w:rPr>
        <w:tab/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Фактично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протягом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звітного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періоду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2022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року центром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щодо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:</w:t>
      </w:r>
    </w:p>
    <w:p w14:paraId="2475F28D" w14:textId="77777777" w:rsidR="00726B21" w:rsidRPr="003225E5" w:rsidRDefault="00726B21" w:rsidP="003225E5">
      <w:pPr>
        <w:numPr>
          <w:ilvl w:val="0"/>
          <w:numId w:val="12"/>
        </w:numPr>
        <w:ind w:left="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покращення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житлово-побутових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умов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-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поточний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ремонт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житла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постановка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квартирний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облік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потребуючих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придбання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дров,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залучення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спонсорської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дітьми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та особам з числа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дітей-сиріт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BE6D3D4" w14:textId="77777777" w:rsidR="00726B21" w:rsidRPr="003225E5" w:rsidRDefault="00726B21" w:rsidP="003225E5">
      <w:pPr>
        <w:numPr>
          <w:ilvl w:val="0"/>
          <w:numId w:val="12"/>
        </w:numPr>
        <w:ind w:left="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оформлення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документів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 xml:space="preserve">при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народженні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реєстрації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малозабезпеченої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при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втраті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годувальника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призначення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субсидії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житлово-комунальні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4159463B" w14:textId="77777777" w:rsidR="00726B21" w:rsidRPr="003225E5" w:rsidRDefault="00726B21" w:rsidP="003225E5">
      <w:pPr>
        <w:numPr>
          <w:ilvl w:val="0"/>
          <w:numId w:val="12"/>
        </w:numPr>
        <w:ind w:left="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виготовлення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першого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паспорта, </w:t>
      </w:r>
      <w:r w:rsidRPr="003225E5">
        <w:rPr>
          <w:rFonts w:ascii="Century" w:hAnsi="Century"/>
          <w:sz w:val="26"/>
          <w:szCs w:val="26"/>
          <w:lang w:val="en-US" w:eastAsia="en-US"/>
        </w:rPr>
        <w:t>ID</w:t>
      </w: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картки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свідоцтва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про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народження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; </w:t>
      </w:r>
    </w:p>
    <w:p w14:paraId="18E81396" w14:textId="77777777" w:rsidR="00726B21" w:rsidRPr="003225E5" w:rsidRDefault="00726B21" w:rsidP="003225E5">
      <w:pPr>
        <w:numPr>
          <w:ilvl w:val="0"/>
          <w:numId w:val="12"/>
        </w:numPr>
        <w:ind w:left="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медичного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обстеження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лікування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в тому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лікувальних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закладах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м.Львова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-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Центрі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здоров‘я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; </w:t>
      </w:r>
    </w:p>
    <w:p w14:paraId="1A442647" w14:textId="77777777" w:rsidR="00726B21" w:rsidRPr="003225E5" w:rsidRDefault="00726B21" w:rsidP="003225E5">
      <w:pPr>
        <w:numPr>
          <w:ilvl w:val="0"/>
          <w:numId w:val="12"/>
        </w:numPr>
        <w:ind w:left="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оздоровлення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із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багатодітних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малозабезпечених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437D41E4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r w:rsidRPr="003225E5">
        <w:rPr>
          <w:rFonts w:ascii="Century" w:hAnsi="Century"/>
          <w:sz w:val="26"/>
          <w:szCs w:val="26"/>
          <w:lang w:val="ru-RU" w:eastAsia="en-US"/>
        </w:rPr>
        <w:tab/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перебували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обліку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отримували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натуральну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вигляді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продуктових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наборів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Великодня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до Дня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,  святого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Миколая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Різдвяних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свят 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протягом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року.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Гуманітарну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надавали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одягом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речами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першої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необхідності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посудом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дитячими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колясками.   </w:t>
      </w:r>
    </w:p>
    <w:p w14:paraId="3755A856" w14:textId="77777777" w:rsidR="00726B21" w:rsidRPr="003225E5" w:rsidRDefault="00726B21" w:rsidP="003225E5">
      <w:p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color w:val="FF0000"/>
          <w:sz w:val="26"/>
          <w:szCs w:val="26"/>
          <w:lang w:val="ru-RU" w:eastAsia="en-US"/>
        </w:rPr>
        <w:tab/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Відповідно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до  постанови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КМУ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21.08.2022 №824 «Про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затвердження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типових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положень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про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денний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соціально-психологічної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особам,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постраждали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домашнього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насильства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або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ознакою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статі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спеціалізовану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службу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первинного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соціально-психологічного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консультування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постраждали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домашнього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насильства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або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ознакою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статі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»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сприяння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БО БФ «БАТЕРФЛАЙ»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облаштовано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«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консультативну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службу»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меблями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технікою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обладнанням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канцтоварами та генератором.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вартість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залучених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коштів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такого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проекту становила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понад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200тис.грн</w:t>
      </w:r>
    </w:p>
    <w:p w14:paraId="6C27C348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Фахівці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роботи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центру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отримали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6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планшетів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завдяки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ініціативі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підтримці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сторони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Представництва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Дитячого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Фонду ООН ЮНІСЕФ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замовлення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Міністерства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політики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Національної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сервісної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служби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4C7B8B67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У 2022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ФСР центру 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долучилися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проєкту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«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Тобі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слід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знати про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туберкульоз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: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активне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виявлення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випадків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туберкульозу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серед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опинилися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СЖО»,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підтримки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МБФ «АЛЬЯНС ГРОМАДСЬКОГО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 xml:space="preserve">ЗДОРОВ’Я»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реалізує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МГО «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ініціативи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охорони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праці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здоров’я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».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Завдяки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реалізації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даного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проєкту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території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громади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530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пройшли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відповідне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медичне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обстеження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3A9FDE23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Окремим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важливим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напрямом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здійснення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роботи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звітному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була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робота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сім’ями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особами ВПО.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центру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охоплено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242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/ особи,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виховуються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187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Забезпечено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належне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функціонування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 xml:space="preserve">3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місць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тимчасового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поселення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(МТП), де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60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з них18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</w:p>
    <w:p w14:paraId="2219B7E3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lastRenderedPageBreak/>
        <w:t>Завдяки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благодійній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допомозі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отриманій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ТОВ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фірма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МХП, ЛОО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Товариство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Червоного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Хреста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України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, ПА «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Наукова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», ГО «Народна Самооборона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Львівщини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»,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американських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волонтерів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починаючи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серпня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2022 року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щомісячно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видавалася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продуктова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засобами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гігієни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 xml:space="preserve">для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ВПО.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жовтня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2022 року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новоприбулі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ВПО,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крім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вищезазначеної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отримували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постіль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матраци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комплект посуду,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теплі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одіяла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Місця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поселення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ВПО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забезпечені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генераторами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рахунок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благодійної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4FB04AC4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реабілітації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початку року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відвідували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2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групи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кількістю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30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в тому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3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Рудківської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ТГ (за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наданою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субвенцією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розмірі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100,0тис.грн) та 6дітей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із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ВПО. 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отримують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послуги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, психолого-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педагогічної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фізичної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фізкультурно-спортивної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медичної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Забезпечують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цих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4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фахівці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вчителі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реабілітолог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дефектолог,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практичний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психолог,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медична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сестра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масажу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фізичної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  та 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асистенти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бюджетні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спонсорські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кошти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організовувалися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святкові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заходи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подарунки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Дня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до Дня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Незалежності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України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,  святого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Миколая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новорічно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різдвяних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свят.</w:t>
      </w:r>
    </w:p>
    <w:p w14:paraId="39313019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 xml:space="preserve">Служба </w:t>
      </w:r>
      <w:proofErr w:type="spellStart"/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>перевезення</w:t>
      </w:r>
      <w:proofErr w:type="spellEnd"/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 xml:space="preserve"> «</w:t>
      </w:r>
      <w:proofErr w:type="spellStart"/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>Соціальне</w:t>
      </w:r>
      <w:proofErr w:type="spellEnd"/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>таксі</w:t>
      </w:r>
      <w:proofErr w:type="spellEnd"/>
      <w:r w:rsidRPr="003225E5">
        <w:rPr>
          <w:rFonts w:ascii="Century" w:hAnsi="Century"/>
          <w:b/>
          <w:bCs/>
          <w:sz w:val="26"/>
          <w:szCs w:val="26"/>
          <w:lang w:val="ru-RU" w:eastAsia="en-US"/>
        </w:rPr>
        <w:t>»</w:t>
      </w:r>
    </w:p>
    <w:p w14:paraId="2F0F0254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утворена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рішенням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сесії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25 лютого 2021 року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структурі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КУ «ЦНСП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ради»  </w:t>
      </w:r>
    </w:p>
    <w:p w14:paraId="6DD922C9" w14:textId="77777777" w:rsidR="00726B21" w:rsidRPr="003225E5" w:rsidRDefault="00726B21" w:rsidP="003225E5">
      <w:pPr>
        <w:numPr>
          <w:ilvl w:val="0"/>
          <w:numId w:val="17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«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таксі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»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скористалися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21 особа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в тому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числі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 </w:t>
      </w:r>
    </w:p>
    <w:p w14:paraId="3E1863CB" w14:textId="77777777" w:rsidR="00726B21" w:rsidRPr="003225E5" w:rsidRDefault="00726B21" w:rsidP="003225E5">
      <w:pPr>
        <w:numPr>
          <w:ilvl w:val="0"/>
          <w:numId w:val="17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перевезення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надавалися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заявникам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жителям м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 xml:space="preserve">Городок,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вул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Аваційна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Вишинського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Львівська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Б.Хмельницького</w:t>
      </w:r>
      <w:proofErr w:type="spellEnd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сіл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Долиняни,Годвишня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Братковичі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Повітно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Мавковичі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Черляни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Галичани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</w:p>
    <w:p w14:paraId="48B93671" w14:textId="77777777" w:rsidR="00726B21" w:rsidRPr="003225E5" w:rsidRDefault="00726B21" w:rsidP="003225E5">
      <w:pPr>
        <w:numPr>
          <w:ilvl w:val="0"/>
          <w:numId w:val="17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Маршрути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: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стоматологія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лікарня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поліклініка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ПФ, установи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адміністративних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відділення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РАЦСу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газова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контора.</w:t>
      </w:r>
    </w:p>
    <w:p w14:paraId="046A62C6" w14:textId="77777777" w:rsidR="00726B21" w:rsidRPr="003225E5" w:rsidRDefault="00726B21" w:rsidP="003225E5">
      <w:pPr>
        <w:ind w:firstLine="708"/>
        <w:jc w:val="both"/>
        <w:rPr>
          <w:rFonts w:ascii="Century" w:hAnsi="Century"/>
          <w:b/>
          <w:sz w:val="26"/>
          <w:szCs w:val="26"/>
          <w:lang w:val="ru-RU" w:eastAsia="en-US"/>
        </w:rPr>
      </w:pPr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ЦНСП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ради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здійснює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діяльність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в </w:t>
      </w:r>
      <w:proofErr w:type="spellStart"/>
      <w:proofErr w:type="gramStart"/>
      <w:r w:rsidRPr="003225E5">
        <w:rPr>
          <w:rFonts w:ascii="Century" w:hAnsi="Century"/>
          <w:b/>
          <w:sz w:val="26"/>
          <w:szCs w:val="26"/>
          <w:lang w:val="ru-RU" w:eastAsia="en-US"/>
        </w:rPr>
        <w:t>сфері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соціального</w:t>
      </w:r>
      <w:proofErr w:type="spellEnd"/>
      <w:proofErr w:type="gram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забезпечення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відповідно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заходів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Комплексної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програми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забезпечення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населення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ради на 2021-2024 роки, яка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затверджена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рішенням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сесії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ради 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від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22.12.2020 №54. </w:t>
      </w:r>
    </w:p>
    <w:p w14:paraId="005BF19E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Заходи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Комплексної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програми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2022 року,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затверджені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рішенням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сесії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від23.12.2021 №3855,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охоплюють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такі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категорії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населення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громади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як:</w:t>
      </w:r>
    </w:p>
    <w:p w14:paraId="6250E9E7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ветеранів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УПА;</w:t>
      </w:r>
    </w:p>
    <w:p w14:paraId="552A22E7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100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літніх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мешканців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громади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4C89D3EE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E942D65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потерпілих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внаслідок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аварії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ЧАЕС</w:t>
      </w:r>
    </w:p>
    <w:p w14:paraId="759E7705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бойових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АТО/ООС,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Афганістану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військовослужбовців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5B48FA45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членів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загиблих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бойових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(АТО/ООС,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Афганістану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Героїв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Небесної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9B601DC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lastRenderedPageBreak/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категорій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767211C3" w14:textId="77777777" w:rsidR="00726B21" w:rsidRPr="003225E5" w:rsidRDefault="00726B21" w:rsidP="003225E5">
      <w:pPr>
        <w:numPr>
          <w:ilvl w:val="0"/>
          <w:numId w:val="12"/>
        </w:numPr>
        <w:tabs>
          <w:tab w:val="left" w:pos="284"/>
          <w:tab w:val="left" w:pos="993"/>
        </w:tabs>
        <w:ind w:left="284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перебувають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складних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життєвих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обставинах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11205290" w14:textId="77777777" w:rsidR="00726B21" w:rsidRPr="003225E5" w:rsidRDefault="00726B21" w:rsidP="003225E5">
      <w:pPr>
        <w:tabs>
          <w:tab w:val="left" w:pos="1134"/>
        </w:tabs>
        <w:ind w:left="720"/>
        <w:jc w:val="both"/>
        <w:rPr>
          <w:rFonts w:ascii="Century" w:hAnsi="Century"/>
          <w:sz w:val="26"/>
          <w:szCs w:val="26"/>
          <w:lang w:val="ru-RU" w:eastAsia="en-US"/>
        </w:rPr>
      </w:pPr>
    </w:p>
    <w:p w14:paraId="200C275F" w14:textId="77777777" w:rsidR="00726B21" w:rsidRPr="003225E5" w:rsidRDefault="00726B21" w:rsidP="003225E5">
      <w:pPr>
        <w:ind w:left="72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Основні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напрямки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Комплексної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програми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передбачають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:</w:t>
      </w:r>
    </w:p>
    <w:p w14:paraId="0D4F1ED0" w14:textId="77777777" w:rsidR="00726B21" w:rsidRPr="003225E5" w:rsidRDefault="00726B21" w:rsidP="003225E5">
      <w:pPr>
        <w:numPr>
          <w:ilvl w:val="0"/>
          <w:numId w:val="16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адресної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грошової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(в т ч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покращення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матеріально-побутових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умов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проживання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лікування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поховання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);</w:t>
      </w:r>
    </w:p>
    <w:p w14:paraId="2F5DC6FD" w14:textId="77777777" w:rsidR="00726B21" w:rsidRPr="003225E5" w:rsidRDefault="00726B21" w:rsidP="003225E5">
      <w:pPr>
        <w:numPr>
          <w:ilvl w:val="0"/>
          <w:numId w:val="16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оздоровлення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закупівля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путівок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бойових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членів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загиблих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АТО (ООС)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Героїв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Небесної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3BA79EF1" w14:textId="77777777" w:rsidR="00726B21" w:rsidRPr="003225E5" w:rsidRDefault="00726B21" w:rsidP="003225E5">
      <w:pPr>
        <w:numPr>
          <w:ilvl w:val="0"/>
          <w:numId w:val="16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компенсацію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для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пільгового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проїзду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автомобільним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залізничним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транспортом;</w:t>
      </w:r>
    </w:p>
    <w:p w14:paraId="288964E2" w14:textId="77777777" w:rsidR="00726B21" w:rsidRPr="003225E5" w:rsidRDefault="00726B21" w:rsidP="003225E5">
      <w:pPr>
        <w:numPr>
          <w:ilvl w:val="0"/>
          <w:numId w:val="16"/>
        </w:numPr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компенсацію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(50%)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членам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загиблих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бойових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бійцям-добровольцям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АТО.</w:t>
      </w:r>
    </w:p>
    <w:p w14:paraId="39F00A11" w14:textId="77777777" w:rsidR="00726B21" w:rsidRPr="003225E5" w:rsidRDefault="00726B21" w:rsidP="003225E5">
      <w:pPr>
        <w:ind w:left="360" w:firstLine="567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фінансовий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ресурс,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виділений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2022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для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реалізації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заходів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Комплексної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програми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захисту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становив 3.4млн.грн.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Фактично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,  за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січень-грудень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2022 року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використано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3. 1млн.грн на:</w:t>
      </w:r>
    </w:p>
    <w:p w14:paraId="48BF1175" w14:textId="77777777" w:rsidR="00726B21" w:rsidRPr="003225E5" w:rsidRDefault="00726B21" w:rsidP="003225E5">
      <w:pPr>
        <w:ind w:left="36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виплату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матеріальних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адресних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допомог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(</w:t>
      </w:r>
      <w:proofErr w:type="spellStart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>щомісячних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одноразових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приурочених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пам’ятних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дат) – 2129.2тис.грн, (817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одержувачів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</w:t>
      </w:r>
    </w:p>
    <w:p w14:paraId="650D82D4" w14:textId="77777777" w:rsidR="00726B21" w:rsidRPr="003225E5" w:rsidRDefault="00726B21" w:rsidP="003225E5">
      <w:pPr>
        <w:ind w:left="36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color w:val="FF0000"/>
          <w:sz w:val="26"/>
          <w:szCs w:val="26"/>
          <w:lang w:val="ru-RU" w:eastAsia="en-US"/>
        </w:rPr>
        <w:t xml:space="preserve">-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пільг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та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соціальних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гарантій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населенню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відповідно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законодавства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 – на суму 700.6тис.грн, (121одержувачів);</w:t>
      </w:r>
    </w:p>
    <w:p w14:paraId="5260EA3D" w14:textId="77777777" w:rsidR="00726B21" w:rsidRPr="003225E5" w:rsidRDefault="00726B21" w:rsidP="003225E5">
      <w:pPr>
        <w:ind w:left="36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-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відшкодування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надані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(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зв’язку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перевезення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) – 270.1тис.грн.</w:t>
      </w:r>
    </w:p>
    <w:p w14:paraId="6B06FD39" w14:textId="77777777" w:rsidR="00726B21" w:rsidRPr="003225E5" w:rsidRDefault="00726B21" w:rsidP="003225E5">
      <w:pPr>
        <w:ind w:firstLine="36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Заходи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щодо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оздоровлення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відпочинку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ветеранів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війни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членів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загиблих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бойових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Героїв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України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категорій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потерпіли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внаслідок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аварії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ЧАЕС  не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здійснювалися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кошти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місцевого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бюджету через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недієвість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мережі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закладів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оздоровлення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відпочинку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відсутності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заяв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062D7676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У 2022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кошти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обласного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державного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бюджетів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оздоровлено  32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категорій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.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відпочивали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в закладах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Львівської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Закарпатської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областей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>.</w:t>
      </w:r>
    </w:p>
    <w:p w14:paraId="19263EFF" w14:textId="77777777" w:rsidR="00726B21" w:rsidRPr="003225E5" w:rsidRDefault="00726B21" w:rsidP="003225E5">
      <w:pPr>
        <w:ind w:firstLine="709"/>
        <w:jc w:val="both"/>
        <w:rPr>
          <w:rFonts w:ascii="Century" w:hAnsi="Century"/>
          <w:b/>
          <w:sz w:val="26"/>
          <w:szCs w:val="26"/>
          <w:lang w:val="ru-RU" w:eastAsia="en-US"/>
        </w:rPr>
      </w:pPr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ЦНСП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ради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виступає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b/>
          <w:sz w:val="26"/>
          <w:szCs w:val="26"/>
          <w:lang w:val="ru-RU" w:eastAsia="en-US"/>
        </w:rPr>
        <w:t>виконавцем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заходів</w:t>
      </w:r>
      <w:proofErr w:type="spellEnd"/>
      <w:proofErr w:type="gram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обласних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програм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–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Комплексної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програми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підтримки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у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Львівській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області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АТО(ООС)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їх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родин,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бійців-добровольців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АТО, 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також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 родин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Героїв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Небесної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Сотні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на 2021-2025 роки та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Комплексної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програми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соціальної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підтримки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окремих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категорій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громадян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Львівської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b/>
          <w:sz w:val="26"/>
          <w:szCs w:val="26"/>
          <w:lang w:val="ru-RU" w:eastAsia="en-US"/>
        </w:rPr>
        <w:t>області</w:t>
      </w:r>
      <w:proofErr w:type="spellEnd"/>
      <w:r w:rsidRPr="003225E5">
        <w:rPr>
          <w:rFonts w:ascii="Century" w:hAnsi="Century"/>
          <w:b/>
          <w:sz w:val="26"/>
          <w:szCs w:val="26"/>
          <w:lang w:val="ru-RU" w:eastAsia="en-US"/>
        </w:rPr>
        <w:t xml:space="preserve"> на 2021-2025 роки. </w:t>
      </w:r>
    </w:p>
    <w:p w14:paraId="6B4B83F7" w14:textId="77777777" w:rsidR="00726B21" w:rsidRPr="003225E5" w:rsidRDefault="00726B21" w:rsidP="003225E5">
      <w:pPr>
        <w:ind w:firstLine="708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Фактично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за  2022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рік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відповідно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заходів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цих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двох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програм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певні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категорії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мешканців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Городоцької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міської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ради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отримали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такі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грошові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виплати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суму 1, 3млн.грн:</w:t>
      </w:r>
    </w:p>
    <w:p w14:paraId="4B1297EF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бойових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дій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(</w:t>
      </w:r>
      <w:proofErr w:type="spellStart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>демобілізовані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звільнені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)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повернулися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 АТО (ООС)  - 1 особа  на суму 3тис.грн;</w:t>
      </w:r>
    </w:p>
    <w:p w14:paraId="235B99BF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загиблих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/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померлих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Небесної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- 4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дітей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виплат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165,5тис.грн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0C25F9C6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родичі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померлих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встановлення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пам’ятних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знаків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могилах –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300,0тис.грн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(6 родин);</w:t>
      </w:r>
    </w:p>
    <w:p w14:paraId="27EBDC0D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 з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інвалідністю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реабілітацію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та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санаторно-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курортне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лікування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- 1 особа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суму – 10,0тис.грн;</w:t>
      </w:r>
    </w:p>
    <w:p w14:paraId="1E659E44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lastRenderedPageBreak/>
        <w:t>адресна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допомога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родинам,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родичі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яких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загинули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під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час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проведення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АТО-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32,5тис.грн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</w:p>
    <w:p w14:paraId="3B754B61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сім`ї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Героїв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Небесної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відшкодування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50%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пільг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житлово-комунальні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послуги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>;</w:t>
      </w:r>
    </w:p>
    <w:p w14:paraId="1DD99651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r w:rsidRPr="003225E5">
        <w:rPr>
          <w:rFonts w:ascii="Century" w:hAnsi="Century"/>
          <w:sz w:val="26"/>
          <w:szCs w:val="26"/>
          <w:lang w:val="ru-RU" w:eastAsia="en-US"/>
        </w:rPr>
        <w:t xml:space="preserve">батьки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Героїв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Небесної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Сотні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вигляді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доплати до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пенсії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на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суму 34.0тис.грн</w:t>
      </w:r>
    </w:p>
    <w:p w14:paraId="3F685F3E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 О з числа ВПО – 1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особа  -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8,0тис.грн;</w:t>
      </w:r>
    </w:p>
    <w:p w14:paraId="221AA1BF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учасники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АТО-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добровольці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-  5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осіб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 10,0тис.грн</w:t>
      </w:r>
    </w:p>
    <w:p w14:paraId="72BBD627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сім’ї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важких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життєвих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обставинах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отримали</w:t>
      </w:r>
      <w:proofErr w:type="spellEnd"/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допомоги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суму 382,4тис.грн</w:t>
      </w:r>
    </w:p>
    <w:p w14:paraId="2B139818" w14:textId="77777777" w:rsidR="00726B21" w:rsidRPr="003225E5" w:rsidRDefault="00726B21" w:rsidP="003225E5">
      <w:pPr>
        <w:numPr>
          <w:ilvl w:val="0"/>
          <w:numId w:val="11"/>
        </w:numPr>
        <w:ind w:left="360" w:firstLine="0"/>
        <w:jc w:val="both"/>
        <w:rPr>
          <w:rFonts w:ascii="Century" w:hAnsi="Century"/>
          <w:sz w:val="26"/>
          <w:szCs w:val="26"/>
          <w:lang w:val="ru-RU" w:eastAsia="en-US"/>
        </w:rPr>
      </w:pP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ветерани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УПА (3осіб),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вдови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вдівці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ветеранів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УПА(2особи</w:t>
      </w:r>
      <w:proofErr w:type="gramStart"/>
      <w:r w:rsidRPr="003225E5">
        <w:rPr>
          <w:rFonts w:ascii="Century" w:hAnsi="Century"/>
          <w:sz w:val="26"/>
          <w:szCs w:val="26"/>
          <w:lang w:val="ru-RU" w:eastAsia="en-US"/>
        </w:rPr>
        <w:t>),  особам</w:t>
      </w:r>
      <w:proofErr w:type="gram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реабілітованим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та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потерпілим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за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статтями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1-2, 1-3 закону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України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«Про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реабілітацію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жертв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репресій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комуністичного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тоталітарного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режиму 1917-1991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років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–на </w:t>
      </w:r>
      <w:proofErr w:type="spellStart"/>
      <w:r w:rsidRPr="003225E5">
        <w:rPr>
          <w:rFonts w:ascii="Century" w:hAnsi="Century"/>
          <w:sz w:val="26"/>
          <w:szCs w:val="26"/>
          <w:lang w:val="ru-RU" w:eastAsia="en-US"/>
        </w:rPr>
        <w:t>загальну</w:t>
      </w:r>
      <w:proofErr w:type="spellEnd"/>
      <w:r w:rsidRPr="003225E5">
        <w:rPr>
          <w:rFonts w:ascii="Century" w:hAnsi="Century"/>
          <w:sz w:val="26"/>
          <w:szCs w:val="26"/>
          <w:lang w:val="ru-RU" w:eastAsia="en-US"/>
        </w:rPr>
        <w:t xml:space="preserve"> суму 287,2тис.грн.</w:t>
      </w:r>
    </w:p>
    <w:p w14:paraId="7E21AFD6" w14:textId="77777777" w:rsidR="00102C37" w:rsidRPr="003225E5" w:rsidRDefault="00102C37" w:rsidP="003225E5">
      <w:pPr>
        <w:rPr>
          <w:rFonts w:ascii="Century" w:hAnsi="Century"/>
          <w:b/>
          <w:bCs/>
          <w:sz w:val="28"/>
          <w:szCs w:val="28"/>
        </w:rPr>
      </w:pPr>
    </w:p>
    <w:p w14:paraId="5BA89638" w14:textId="2D3BF2D7" w:rsidR="00102C37" w:rsidRDefault="00102C37">
      <w:pPr>
        <w:rPr>
          <w:rFonts w:ascii="Century" w:hAnsi="Century"/>
          <w:b/>
          <w:bCs/>
          <w:sz w:val="28"/>
          <w:szCs w:val="28"/>
        </w:rPr>
      </w:pPr>
    </w:p>
    <w:sectPr w:rsidR="00102C37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732C"/>
    <w:multiLevelType w:val="hybridMultilevel"/>
    <w:tmpl w:val="D57A4B3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7634A"/>
    <w:multiLevelType w:val="hybridMultilevel"/>
    <w:tmpl w:val="BFE422D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47614"/>
    <w:multiLevelType w:val="hybridMultilevel"/>
    <w:tmpl w:val="B1D23860"/>
    <w:lvl w:ilvl="0" w:tplc="8222D40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5" w:hanging="360"/>
      </w:pPr>
    </w:lvl>
    <w:lvl w:ilvl="2" w:tplc="2000001B" w:tentative="1">
      <w:start w:val="1"/>
      <w:numFmt w:val="lowerRoman"/>
      <w:lvlText w:val="%3."/>
      <w:lvlJc w:val="right"/>
      <w:pPr>
        <w:ind w:left="2865" w:hanging="180"/>
      </w:pPr>
    </w:lvl>
    <w:lvl w:ilvl="3" w:tplc="2000000F" w:tentative="1">
      <w:start w:val="1"/>
      <w:numFmt w:val="decimal"/>
      <w:lvlText w:val="%4."/>
      <w:lvlJc w:val="left"/>
      <w:pPr>
        <w:ind w:left="3585" w:hanging="360"/>
      </w:pPr>
    </w:lvl>
    <w:lvl w:ilvl="4" w:tplc="20000019" w:tentative="1">
      <w:start w:val="1"/>
      <w:numFmt w:val="lowerLetter"/>
      <w:lvlText w:val="%5."/>
      <w:lvlJc w:val="left"/>
      <w:pPr>
        <w:ind w:left="4305" w:hanging="360"/>
      </w:pPr>
    </w:lvl>
    <w:lvl w:ilvl="5" w:tplc="2000001B" w:tentative="1">
      <w:start w:val="1"/>
      <w:numFmt w:val="lowerRoman"/>
      <w:lvlText w:val="%6."/>
      <w:lvlJc w:val="right"/>
      <w:pPr>
        <w:ind w:left="5025" w:hanging="180"/>
      </w:pPr>
    </w:lvl>
    <w:lvl w:ilvl="6" w:tplc="2000000F" w:tentative="1">
      <w:start w:val="1"/>
      <w:numFmt w:val="decimal"/>
      <w:lvlText w:val="%7."/>
      <w:lvlJc w:val="left"/>
      <w:pPr>
        <w:ind w:left="5745" w:hanging="360"/>
      </w:pPr>
    </w:lvl>
    <w:lvl w:ilvl="7" w:tplc="20000019" w:tentative="1">
      <w:start w:val="1"/>
      <w:numFmt w:val="lowerLetter"/>
      <w:lvlText w:val="%8."/>
      <w:lvlJc w:val="left"/>
      <w:pPr>
        <w:ind w:left="6465" w:hanging="360"/>
      </w:pPr>
    </w:lvl>
    <w:lvl w:ilvl="8" w:tplc="200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4" w15:restartNumberingAfterBreak="0">
    <w:nsid w:val="294F6DB0"/>
    <w:multiLevelType w:val="hybridMultilevel"/>
    <w:tmpl w:val="902EABF4"/>
    <w:lvl w:ilvl="0" w:tplc="5E5A16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218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E82A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F058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0C46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0EF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201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44F6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C89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35262"/>
    <w:multiLevelType w:val="hybridMultilevel"/>
    <w:tmpl w:val="3B406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436AC"/>
    <w:multiLevelType w:val="hybridMultilevel"/>
    <w:tmpl w:val="61FC6A5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67140"/>
    <w:multiLevelType w:val="hybridMultilevel"/>
    <w:tmpl w:val="386CFE4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ACA69EF"/>
    <w:multiLevelType w:val="hybridMultilevel"/>
    <w:tmpl w:val="390C146E"/>
    <w:lvl w:ilvl="0" w:tplc="C2FA9CC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8B42A63"/>
    <w:multiLevelType w:val="hybridMultilevel"/>
    <w:tmpl w:val="0E60E3E0"/>
    <w:lvl w:ilvl="0" w:tplc="D492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1747A"/>
    <w:multiLevelType w:val="hybridMultilevel"/>
    <w:tmpl w:val="A12465C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244CB"/>
    <w:multiLevelType w:val="hybridMultilevel"/>
    <w:tmpl w:val="D7A430AE"/>
    <w:lvl w:ilvl="0" w:tplc="E4122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75A2550"/>
    <w:multiLevelType w:val="hybridMultilevel"/>
    <w:tmpl w:val="9822FA08"/>
    <w:lvl w:ilvl="0" w:tplc="D492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166D2"/>
    <w:multiLevelType w:val="hybridMultilevel"/>
    <w:tmpl w:val="5F6AD1E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E476E"/>
    <w:multiLevelType w:val="hybridMultilevel"/>
    <w:tmpl w:val="15E8D8F2"/>
    <w:lvl w:ilvl="0" w:tplc="DBC24F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CA18A1"/>
    <w:multiLevelType w:val="hybridMultilevel"/>
    <w:tmpl w:val="2B28E850"/>
    <w:lvl w:ilvl="0" w:tplc="FCDC184A">
      <w:start w:val="1"/>
      <w:numFmt w:val="decimal"/>
      <w:lvlText w:val="%1)"/>
      <w:lvlJc w:val="left"/>
      <w:pPr>
        <w:ind w:left="1065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94862882">
    <w:abstractNumId w:val="3"/>
  </w:num>
  <w:num w:numId="2" w16cid:durableId="846555896">
    <w:abstractNumId w:val="8"/>
  </w:num>
  <w:num w:numId="3" w16cid:durableId="151722575">
    <w:abstractNumId w:val="2"/>
  </w:num>
  <w:num w:numId="4" w16cid:durableId="112020259">
    <w:abstractNumId w:val="16"/>
  </w:num>
  <w:num w:numId="5" w16cid:durableId="1321691043">
    <w:abstractNumId w:val="14"/>
  </w:num>
  <w:num w:numId="6" w16cid:durableId="602153323">
    <w:abstractNumId w:val="11"/>
  </w:num>
  <w:num w:numId="7" w16cid:durableId="1295063137">
    <w:abstractNumId w:val="15"/>
  </w:num>
  <w:num w:numId="8" w16cid:durableId="63454351">
    <w:abstractNumId w:val="9"/>
  </w:num>
  <w:num w:numId="9" w16cid:durableId="1987199153">
    <w:abstractNumId w:val="13"/>
  </w:num>
  <w:num w:numId="10" w16cid:durableId="1441492468">
    <w:abstractNumId w:val="5"/>
  </w:num>
  <w:num w:numId="11" w16cid:durableId="35205707">
    <w:abstractNumId w:val="7"/>
  </w:num>
  <w:num w:numId="12" w16cid:durableId="350374712">
    <w:abstractNumId w:val="12"/>
  </w:num>
  <w:num w:numId="13" w16cid:durableId="1953586671">
    <w:abstractNumId w:val="0"/>
  </w:num>
  <w:num w:numId="14" w16cid:durableId="1588267334">
    <w:abstractNumId w:val="10"/>
  </w:num>
  <w:num w:numId="15" w16cid:durableId="1815875230">
    <w:abstractNumId w:val="6"/>
  </w:num>
  <w:num w:numId="16" w16cid:durableId="2021807960">
    <w:abstractNumId w:val="1"/>
  </w:num>
  <w:num w:numId="17" w16cid:durableId="304506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B8"/>
    <w:rsid w:val="000A680F"/>
    <w:rsid w:val="000E495B"/>
    <w:rsid w:val="00102C37"/>
    <w:rsid w:val="00105E57"/>
    <w:rsid w:val="00176788"/>
    <w:rsid w:val="001B3895"/>
    <w:rsid w:val="003225E5"/>
    <w:rsid w:val="0032639E"/>
    <w:rsid w:val="005A1B18"/>
    <w:rsid w:val="005F3A75"/>
    <w:rsid w:val="00726B21"/>
    <w:rsid w:val="00837566"/>
    <w:rsid w:val="008544D7"/>
    <w:rsid w:val="008951B8"/>
    <w:rsid w:val="008C677B"/>
    <w:rsid w:val="00C02604"/>
    <w:rsid w:val="00CA4104"/>
    <w:rsid w:val="00D22D4E"/>
    <w:rsid w:val="00DB5596"/>
    <w:rsid w:val="00F3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9052</Words>
  <Characters>5161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2023-04-19T07:37:00Z</cp:lastPrinted>
  <dcterms:created xsi:type="dcterms:W3CDTF">2023-04-21T09:14:00Z</dcterms:created>
  <dcterms:modified xsi:type="dcterms:W3CDTF">2023-04-21T09:14:00Z</dcterms:modified>
</cp:coreProperties>
</file>